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7B2" w:rsidRDefault="003A47B2" w:rsidP="003A47B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A47B2">
        <w:rPr>
          <w:rFonts w:cstheme="minorHAnsi"/>
          <w:sz w:val="28"/>
          <w:szCs w:val="28"/>
        </w:rPr>
        <w:t>П</w:t>
      </w:r>
      <w:r w:rsidR="003B6063" w:rsidRPr="003A47B2">
        <w:rPr>
          <w:rFonts w:cstheme="minorHAnsi"/>
          <w:sz w:val="28"/>
          <w:szCs w:val="28"/>
        </w:rPr>
        <w:t xml:space="preserve">ерелік освітніх компонент, </w:t>
      </w:r>
    </w:p>
    <w:p w:rsidR="003B6063" w:rsidRDefault="003B6063" w:rsidP="003A47B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A47B2">
        <w:rPr>
          <w:rFonts w:cstheme="minorHAnsi"/>
          <w:sz w:val="28"/>
          <w:szCs w:val="28"/>
        </w:rPr>
        <w:t>за якими підрозділ планує</w:t>
      </w:r>
      <w:r w:rsidR="003A47B2" w:rsidRPr="003A47B2">
        <w:rPr>
          <w:rFonts w:cstheme="minorHAnsi"/>
          <w:sz w:val="28"/>
          <w:szCs w:val="28"/>
        </w:rPr>
        <w:t xml:space="preserve"> </w:t>
      </w:r>
      <w:r w:rsidRPr="003A47B2">
        <w:rPr>
          <w:rFonts w:cstheme="minorHAnsi"/>
          <w:sz w:val="28"/>
          <w:szCs w:val="28"/>
        </w:rPr>
        <w:t>здійснювати практичну підготовку(окремі види занять) в очному режимі:</w:t>
      </w:r>
    </w:p>
    <w:p w:rsidR="003A47B2" w:rsidRPr="003A47B2" w:rsidRDefault="003A47B2" w:rsidP="003A47B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09"/>
        <w:gridCol w:w="1588"/>
        <w:gridCol w:w="2268"/>
        <w:gridCol w:w="993"/>
        <w:gridCol w:w="1134"/>
        <w:gridCol w:w="2268"/>
        <w:gridCol w:w="1559"/>
        <w:gridCol w:w="1701"/>
        <w:gridCol w:w="1843"/>
      </w:tblGrid>
      <w:tr w:rsidR="003B6063" w:rsidRPr="003A47B2" w:rsidTr="003B6063">
        <w:trPr>
          <w:tblHeader/>
          <w:jc w:val="center"/>
        </w:trPr>
        <w:tc>
          <w:tcPr>
            <w:tcW w:w="1809" w:type="dxa"/>
            <w:shd w:val="clear" w:color="auto" w:fill="F2F2F2"/>
            <w:vAlign w:val="center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lang w:eastAsia="en-US"/>
              </w:rPr>
            </w:pPr>
            <w:r w:rsidRPr="003A47B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Код спеціальності, тип ОП, освітній ступінь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lang w:eastAsia="en-US"/>
              </w:rPr>
            </w:pPr>
            <w:r w:rsidRPr="003A47B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 xml:space="preserve">Назва освітньої програми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lang w:eastAsia="en-US"/>
              </w:rPr>
            </w:pPr>
            <w:r w:rsidRPr="003A47B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Назва освітнього компоненту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lang w:eastAsia="en-US"/>
              </w:rPr>
            </w:pPr>
            <w:r w:rsidRPr="003A47B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Шифр групи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lang w:eastAsia="en-US"/>
              </w:rPr>
            </w:pPr>
            <w:r w:rsidRPr="003A47B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Планова кількість здобувачів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lang w:eastAsia="en-US"/>
              </w:rPr>
            </w:pPr>
            <w:r w:rsidRPr="003A47B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Підрозділ, що відповідає за викладання освітнього компонент</w:t>
            </w:r>
            <w:r w:rsidRPr="003A47B2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lang w:eastAsia="en-US"/>
              </w:rPr>
            </w:pPr>
            <w:r w:rsidRPr="003A47B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Вид очних занять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lang w:eastAsia="en-US"/>
              </w:rPr>
            </w:pPr>
            <w:r w:rsidRPr="003A47B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Кількість НПП, що забезпечують очні заняття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lang w:eastAsia="en-US"/>
              </w:rPr>
            </w:pPr>
            <w:r w:rsidRPr="003A47B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Місце проведення заняття</w:t>
            </w:r>
          </w:p>
        </w:tc>
      </w:tr>
      <w:tr w:rsidR="003B6063" w:rsidRPr="003A47B2" w:rsidTr="008275B1">
        <w:trPr>
          <w:jc w:val="center"/>
        </w:trPr>
        <w:tc>
          <w:tcPr>
            <w:tcW w:w="1809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174 ОПП бакалавра</w:t>
            </w:r>
          </w:p>
        </w:tc>
        <w:tc>
          <w:tcPr>
            <w:tcW w:w="1588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Автоматизація, комп’ютерно-інтегровані технології та робототехніка</w:t>
            </w:r>
          </w:p>
        </w:tc>
        <w:tc>
          <w:tcPr>
            <w:tcW w:w="2268" w:type="dxa"/>
          </w:tcPr>
          <w:p w:rsidR="003B6063" w:rsidRPr="003A47B2" w:rsidRDefault="003B6063" w:rsidP="003A47B2">
            <w:pPr>
              <w:pStyle w:val="1"/>
              <w:rPr>
                <w:rFonts w:asciiTheme="minorHAnsi" w:eastAsia="Calibri" w:hAnsiTheme="minorHAnsi" w:cstheme="minorHAnsi"/>
                <w:i/>
                <w:color w:val="1F497D"/>
              </w:rPr>
            </w:pPr>
            <w:bookmarkStart w:id="0" w:name="_heading=h.dgfsoqylqkj4" w:colFirst="0" w:colLast="0"/>
            <w:bookmarkEnd w:id="0"/>
            <w:proofErr w:type="spellStart"/>
            <w:r w:rsidRPr="003A47B2">
              <w:rPr>
                <w:rFonts w:asciiTheme="minorHAnsi" w:eastAsia="Arial" w:hAnsiTheme="minorHAnsi" w:cstheme="minorHAnsi"/>
                <w:i/>
                <w:color w:val="1F497D"/>
              </w:rPr>
              <w:t>Супервізорні</w:t>
            </w:r>
            <w:proofErr w:type="spellEnd"/>
            <w:r w:rsidRPr="003A47B2">
              <w:rPr>
                <w:rFonts w:asciiTheme="minorHAnsi" w:eastAsia="Arial" w:hAnsiTheme="minorHAnsi" w:cstheme="minorHAnsi"/>
                <w:i/>
                <w:color w:val="1F497D"/>
              </w:rPr>
              <w:t xml:space="preserve"> засоби </w:t>
            </w:r>
            <w:proofErr w:type="spellStart"/>
            <w:r w:rsidRPr="003A47B2">
              <w:rPr>
                <w:rFonts w:asciiTheme="minorHAnsi" w:eastAsia="Arial" w:hAnsiTheme="minorHAnsi" w:cstheme="minorHAnsi"/>
                <w:i/>
                <w:color w:val="1F497D"/>
              </w:rPr>
              <w:t>автоматизаціїь</w:t>
            </w:r>
            <w:proofErr w:type="spellEnd"/>
          </w:p>
        </w:tc>
        <w:tc>
          <w:tcPr>
            <w:tcW w:w="993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ТА-01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ТА-02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ТА-03</w:t>
            </w:r>
          </w:p>
        </w:tc>
        <w:tc>
          <w:tcPr>
            <w:tcW w:w="1134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5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7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Кафедри автоматизації енергетичних процесів</w:t>
            </w:r>
          </w:p>
        </w:tc>
        <w:tc>
          <w:tcPr>
            <w:tcW w:w="1559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лабораторні</w:t>
            </w:r>
          </w:p>
        </w:tc>
        <w:tc>
          <w:tcPr>
            <w:tcW w:w="1701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лабораторія 802-5</w:t>
            </w:r>
          </w:p>
        </w:tc>
      </w:tr>
      <w:tr w:rsidR="003B6063" w:rsidRPr="003A47B2" w:rsidTr="008275B1">
        <w:trPr>
          <w:jc w:val="center"/>
        </w:trPr>
        <w:tc>
          <w:tcPr>
            <w:tcW w:w="1809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174 ОПП бакалавра</w:t>
            </w:r>
          </w:p>
        </w:tc>
        <w:tc>
          <w:tcPr>
            <w:tcW w:w="1588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Автоматизація, комп’ютерно-інтегровані технології та робототе</w:t>
            </w: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lastRenderedPageBreak/>
              <w:t>хніка</w:t>
            </w:r>
          </w:p>
        </w:tc>
        <w:tc>
          <w:tcPr>
            <w:tcW w:w="2268" w:type="dxa"/>
          </w:tcPr>
          <w:p w:rsidR="003B6063" w:rsidRPr="003A47B2" w:rsidRDefault="003B6063" w:rsidP="003A47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1F497D"/>
              </w:rPr>
            </w:pPr>
            <w:r w:rsidRPr="003A47B2">
              <w:rPr>
                <w:rFonts w:asciiTheme="minorHAnsi" w:eastAsia="Arial" w:hAnsiTheme="minorHAnsi" w:cstheme="minorHAnsi"/>
                <w:i/>
                <w:color w:val="1F497D"/>
              </w:rPr>
              <w:lastRenderedPageBreak/>
              <w:t>Автоматизація інженерних систем будівель</w:t>
            </w:r>
          </w:p>
        </w:tc>
        <w:tc>
          <w:tcPr>
            <w:tcW w:w="993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ТА-01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ТА-02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ТА-03</w:t>
            </w:r>
          </w:p>
        </w:tc>
        <w:tc>
          <w:tcPr>
            <w:tcW w:w="1134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5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7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Кафедри автоматизації енергетичних процесів</w:t>
            </w:r>
          </w:p>
        </w:tc>
        <w:tc>
          <w:tcPr>
            <w:tcW w:w="1559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лабораторні</w:t>
            </w:r>
          </w:p>
        </w:tc>
        <w:tc>
          <w:tcPr>
            <w:tcW w:w="1701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лабораторія 702-5</w:t>
            </w:r>
          </w:p>
        </w:tc>
      </w:tr>
      <w:tr w:rsidR="003B6063" w:rsidRPr="003A47B2" w:rsidTr="008275B1">
        <w:trPr>
          <w:jc w:val="center"/>
        </w:trPr>
        <w:tc>
          <w:tcPr>
            <w:tcW w:w="1809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174 ОПП бакалавра</w:t>
            </w:r>
          </w:p>
        </w:tc>
        <w:tc>
          <w:tcPr>
            <w:tcW w:w="1588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Автоматизація, комп’ютерно-інтегровані технології та робототехніка</w:t>
            </w:r>
          </w:p>
        </w:tc>
        <w:tc>
          <w:tcPr>
            <w:tcW w:w="2268" w:type="dxa"/>
          </w:tcPr>
          <w:p w:rsidR="003B6063" w:rsidRPr="003A47B2" w:rsidRDefault="003B6063" w:rsidP="003A47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1F497D"/>
              </w:rPr>
            </w:pPr>
            <w:r w:rsidRPr="003A47B2">
              <w:rPr>
                <w:rFonts w:asciiTheme="minorHAnsi" w:eastAsia="Arial" w:hAnsiTheme="minorHAnsi" w:cstheme="minorHAnsi"/>
                <w:i/>
                <w:color w:val="1F497D"/>
              </w:rPr>
              <w:t>Програмування засобів автоматизації</w:t>
            </w:r>
          </w:p>
        </w:tc>
        <w:tc>
          <w:tcPr>
            <w:tcW w:w="993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ТА-01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ТА-02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ТА-03</w:t>
            </w:r>
          </w:p>
        </w:tc>
        <w:tc>
          <w:tcPr>
            <w:tcW w:w="1134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12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10</w:t>
            </w:r>
          </w:p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Кафедри автоматизації енергетичних процесів</w:t>
            </w:r>
          </w:p>
        </w:tc>
        <w:tc>
          <w:tcPr>
            <w:tcW w:w="1559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лабораторні</w:t>
            </w:r>
          </w:p>
        </w:tc>
        <w:tc>
          <w:tcPr>
            <w:tcW w:w="1701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лабораторія 702-5</w:t>
            </w:r>
          </w:p>
        </w:tc>
      </w:tr>
      <w:tr w:rsidR="003B6063" w:rsidRPr="003A47B2" w:rsidTr="008275B1">
        <w:trPr>
          <w:jc w:val="center"/>
        </w:trPr>
        <w:tc>
          <w:tcPr>
            <w:tcW w:w="1809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151 ОПП магістра</w:t>
            </w:r>
          </w:p>
        </w:tc>
        <w:tc>
          <w:tcPr>
            <w:tcW w:w="1588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 xml:space="preserve">Автоматизація та комп’ютерно-інтегровані технології </w:t>
            </w:r>
          </w:p>
        </w:tc>
        <w:tc>
          <w:tcPr>
            <w:tcW w:w="2268" w:type="dxa"/>
          </w:tcPr>
          <w:p w:rsidR="003B6063" w:rsidRPr="003A47B2" w:rsidRDefault="003B6063" w:rsidP="003A47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1F497D"/>
              </w:rPr>
            </w:pPr>
            <w:r w:rsidRPr="003A47B2">
              <w:rPr>
                <w:rFonts w:asciiTheme="minorHAnsi" w:eastAsia="Arial" w:hAnsiTheme="minorHAnsi" w:cstheme="minorHAnsi"/>
                <w:i/>
                <w:color w:val="1F497D"/>
              </w:rPr>
              <w:t>Системи реального часу</w:t>
            </w:r>
          </w:p>
        </w:tc>
        <w:tc>
          <w:tcPr>
            <w:tcW w:w="993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ТА-21мн</w:t>
            </w:r>
          </w:p>
        </w:tc>
        <w:tc>
          <w:tcPr>
            <w:tcW w:w="1134" w:type="dxa"/>
          </w:tcPr>
          <w:p w:rsidR="003B6063" w:rsidRPr="003A47B2" w:rsidRDefault="003B6063" w:rsidP="003A4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eastAsia="Calibri"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eastAsia="Calibri" w:cstheme="minorHAnsi"/>
                <w:i/>
                <w:color w:val="1F497D"/>
                <w:sz w:val="28"/>
                <w:szCs w:val="28"/>
              </w:rPr>
              <w:t>Кафедри автоматизації енергетичних процесів</w:t>
            </w:r>
          </w:p>
        </w:tc>
        <w:tc>
          <w:tcPr>
            <w:tcW w:w="1559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лабораторні</w:t>
            </w:r>
          </w:p>
        </w:tc>
        <w:tc>
          <w:tcPr>
            <w:tcW w:w="1701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6063" w:rsidRPr="003A47B2" w:rsidRDefault="003B6063" w:rsidP="003A47B2">
            <w:pPr>
              <w:spacing w:after="0" w:line="240" w:lineRule="auto"/>
              <w:jc w:val="center"/>
              <w:rPr>
                <w:rFonts w:cstheme="minorHAnsi"/>
                <w:i/>
                <w:color w:val="1F497D"/>
                <w:sz w:val="28"/>
                <w:szCs w:val="28"/>
              </w:rPr>
            </w:pPr>
            <w:r w:rsidRPr="003A47B2">
              <w:rPr>
                <w:rFonts w:cstheme="minorHAnsi"/>
                <w:i/>
                <w:color w:val="1F497D"/>
                <w:sz w:val="28"/>
                <w:szCs w:val="28"/>
              </w:rPr>
              <w:t>лабораторія 704-5</w:t>
            </w:r>
          </w:p>
        </w:tc>
      </w:tr>
    </w:tbl>
    <w:p w:rsidR="003B6063" w:rsidRPr="003A47B2" w:rsidRDefault="003B6063" w:rsidP="003A47B2">
      <w:pPr>
        <w:spacing w:after="0" w:line="240" w:lineRule="auto"/>
        <w:rPr>
          <w:rFonts w:cstheme="minorHAnsi"/>
          <w:sz w:val="28"/>
          <w:szCs w:val="28"/>
        </w:rPr>
      </w:pPr>
    </w:p>
    <w:sectPr w:rsidR="003B6063" w:rsidRPr="003A47B2" w:rsidSect="003B606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63"/>
    <w:rsid w:val="003A47B2"/>
    <w:rsid w:val="003B6063"/>
    <w:rsid w:val="00954780"/>
    <w:rsid w:val="00D448B2"/>
    <w:rsid w:val="00E20E55"/>
    <w:rsid w:val="00E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8B3E"/>
  <w15:docId w15:val="{461780DA-E078-4590-8A20-8B2C014F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06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6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Volodya</cp:lastModifiedBy>
  <cp:revision>2</cp:revision>
  <dcterms:created xsi:type="dcterms:W3CDTF">2023-08-18T12:42:00Z</dcterms:created>
  <dcterms:modified xsi:type="dcterms:W3CDTF">2023-08-18T12:42:00Z</dcterms:modified>
</cp:coreProperties>
</file>